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7E7" w:rsidRPr="0052548E" w:rsidRDefault="008177E7" w:rsidP="008177E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hAnsi="Arial" w:cs="Arial"/>
          <w:b/>
          <w:bCs/>
          <w:sz w:val="28"/>
        </w:rPr>
        <w:t>AH_NR#3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DA0B6E">
        <w:rPr>
          <w:rFonts w:ascii="Arial" w:hAnsi="Arial" w:cs="Arial"/>
          <w:b/>
          <w:bCs/>
          <w:sz w:val="28"/>
        </w:rPr>
        <w:tab/>
        <w:t>R1-1716188</w:t>
      </w:r>
    </w:p>
    <w:p w:rsidR="008177E7" w:rsidRPr="009513AC" w:rsidRDefault="008177E7" w:rsidP="008177E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9954E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5457DF" w:rsidRPr="000A64D8" w:rsidRDefault="005457DF" w:rsidP="005457DF">
      <w:pPr>
        <w:pStyle w:val="Footer"/>
        <w:jc w:val="both"/>
        <w:rPr>
          <w:noProof w:val="0"/>
        </w:rPr>
      </w:pPr>
    </w:p>
    <w:p w:rsidR="005457DF" w:rsidRPr="000A64D8" w:rsidRDefault="005457DF" w:rsidP="005457DF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00614E" w:rsidRPr="0000614E">
        <w:rPr>
          <w:rFonts w:ascii="Arial" w:hAnsi="Arial"/>
          <w:sz w:val="24"/>
        </w:rPr>
        <w:t>6.3.1.5</w:t>
      </w:r>
      <w:r>
        <w:rPr>
          <w:rFonts w:ascii="Arial" w:hAnsi="Arial"/>
          <w:sz w:val="24"/>
        </w:rPr>
        <w:tab/>
      </w:r>
    </w:p>
    <w:p w:rsidR="005457DF" w:rsidRPr="001D7377" w:rsidRDefault="005457DF" w:rsidP="005457D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AT&amp;T </w:t>
      </w:r>
    </w:p>
    <w:p w:rsidR="005457DF" w:rsidRPr="003570F9" w:rsidRDefault="005457DF" w:rsidP="005457DF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DA0B6E" w:rsidRPr="00DA0B6E">
        <w:rPr>
          <w:rFonts w:ascii="Arial" w:hAnsi="Arial"/>
          <w:sz w:val="22"/>
        </w:rPr>
        <w:t>On TB size determination for NR</w:t>
      </w:r>
    </w:p>
    <w:p w:rsidR="005457DF" w:rsidRDefault="005457DF" w:rsidP="005457DF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:rsidR="001D7377" w:rsidRPr="00183CB7" w:rsidRDefault="001D7377" w:rsidP="001D7377">
      <w:pPr>
        <w:pStyle w:val="Heading1"/>
      </w:pPr>
      <w:r w:rsidRPr="00183CB7">
        <w:t>Introduction</w:t>
      </w:r>
    </w:p>
    <w:p w:rsidR="0000614E" w:rsidRDefault="00893DF9" w:rsidP="0000614E">
      <w:pPr>
        <w:rPr>
          <w:sz w:val="24"/>
          <w:szCs w:val="24"/>
        </w:rPr>
      </w:pPr>
      <w:r w:rsidRPr="0000614E">
        <w:rPr>
          <w:sz w:val="24"/>
          <w:szCs w:val="24"/>
          <w:lang w:val="en-GB"/>
        </w:rPr>
        <w:t>I</w:t>
      </w:r>
      <w:r w:rsidRPr="0000614E">
        <w:rPr>
          <w:sz w:val="24"/>
          <w:szCs w:val="24"/>
        </w:rPr>
        <w:t xml:space="preserve">n RAN #71, a new study item New Radio (NR) Access Technology was approved. </w:t>
      </w:r>
      <w:r w:rsidR="006E0538" w:rsidRPr="0000614E">
        <w:rPr>
          <w:sz w:val="24"/>
          <w:szCs w:val="24"/>
        </w:rPr>
        <w:t xml:space="preserve">Regarding the </w:t>
      </w:r>
      <w:r w:rsidR="0000614E" w:rsidRPr="0000614E">
        <w:rPr>
          <w:sz w:val="24"/>
          <w:szCs w:val="24"/>
        </w:rPr>
        <w:t xml:space="preserve">TB </w:t>
      </w:r>
      <w:r w:rsidR="0000614E">
        <w:rPr>
          <w:sz w:val="24"/>
          <w:szCs w:val="24"/>
        </w:rPr>
        <w:t>size determination.</w:t>
      </w:r>
    </w:p>
    <w:p w:rsidR="0000614E" w:rsidRPr="0000614E" w:rsidRDefault="0000614E" w:rsidP="0000614E">
      <w:pPr>
        <w:rPr>
          <w:rFonts w:eastAsia="Yu Mincho" w:hint="eastAsia"/>
          <w:b/>
          <w:iCs/>
          <w:sz w:val="24"/>
          <w:szCs w:val="24"/>
          <w:u w:val="single"/>
          <w:lang w:eastAsia="ja-JP"/>
        </w:rPr>
      </w:pPr>
      <w:r w:rsidRPr="0000614E">
        <w:rPr>
          <w:rFonts w:eastAsia="Yu Mincho" w:hint="eastAsia"/>
          <w:b/>
          <w:iCs/>
          <w:sz w:val="24"/>
          <w:szCs w:val="24"/>
          <w:highlight w:val="green"/>
          <w:u w:val="single"/>
          <w:lang w:eastAsia="ja-JP"/>
        </w:rPr>
        <w:t>Agreements</w:t>
      </w:r>
      <w:r w:rsidRPr="0000614E">
        <w:rPr>
          <w:rFonts w:eastAsia="Yu Mincho"/>
          <w:b/>
          <w:iCs/>
          <w:sz w:val="24"/>
          <w:szCs w:val="24"/>
          <w:highlight w:val="green"/>
          <w:u w:val="single"/>
          <w:lang w:eastAsia="ja-JP"/>
        </w:rPr>
        <w:t>:</w:t>
      </w:r>
    </w:p>
    <w:p w:rsidR="0000614E" w:rsidRPr="0000614E" w:rsidRDefault="0000614E" w:rsidP="0000614E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sz w:val="24"/>
          <w:lang w:eastAsia="ja-JP"/>
        </w:rPr>
      </w:pPr>
      <w:r w:rsidRPr="0000614E">
        <w:rPr>
          <w:rFonts w:eastAsia="MS Mincho"/>
          <w:iCs/>
          <w:sz w:val="24"/>
          <w:lang w:eastAsia="ja-JP"/>
        </w:rPr>
        <w:t>Single maximum TB size is defined for the reference case, and is not exceeded.</w:t>
      </w:r>
    </w:p>
    <w:p w:rsidR="0000614E" w:rsidRPr="0000614E" w:rsidRDefault="0000614E" w:rsidP="0000614E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sz w:val="24"/>
          <w:lang w:eastAsia="ja-JP"/>
        </w:rPr>
      </w:pPr>
      <w:r w:rsidRPr="0000614E">
        <w:rPr>
          <w:rFonts w:eastAsia="MS Mincho" w:hint="eastAsia"/>
          <w:iCs/>
          <w:sz w:val="24"/>
          <w:lang w:eastAsia="ja-JP"/>
        </w:rPr>
        <w:t xml:space="preserve">Reference case is </w:t>
      </w:r>
      <w:r w:rsidRPr="0000614E">
        <w:rPr>
          <w:rFonts w:eastAsia="MS Mincho"/>
          <w:iCs/>
          <w:sz w:val="24"/>
          <w:lang w:eastAsia="ja-JP"/>
        </w:rPr>
        <w:t xml:space="preserve">a slot with </w:t>
      </w:r>
      <w:r w:rsidRPr="0000614E">
        <w:rPr>
          <w:rFonts w:eastAsia="MS Mincho" w:hint="eastAsia"/>
          <w:iCs/>
          <w:sz w:val="24"/>
          <w:lang w:eastAsia="ja-JP"/>
        </w:rPr>
        <w:t>14 symbols</w:t>
      </w:r>
      <w:r w:rsidRPr="0000614E">
        <w:rPr>
          <w:rFonts w:eastAsia="MS Mincho"/>
          <w:iCs/>
          <w:sz w:val="24"/>
          <w:lang w:eastAsia="ja-JP"/>
        </w:rPr>
        <w:t>.</w:t>
      </w:r>
    </w:p>
    <w:p w:rsidR="0000614E" w:rsidRDefault="0000614E" w:rsidP="0000614E">
      <w:pPr>
        <w:rPr>
          <w:rFonts w:eastAsia="MS Mincho" w:hint="eastAsia"/>
          <w:lang w:eastAsia="ja-JP"/>
        </w:rPr>
      </w:pPr>
    </w:p>
    <w:p w:rsidR="0000614E" w:rsidRPr="00B14BA1" w:rsidRDefault="0000614E" w:rsidP="0000614E">
      <w:pPr>
        <w:rPr>
          <w:rFonts w:eastAsia="MS Mincho" w:hint="eastAsia"/>
          <w:b/>
          <w:u w:val="single"/>
          <w:lang w:eastAsia="ja-JP"/>
        </w:rPr>
      </w:pPr>
      <w:r w:rsidRPr="0000614E">
        <w:rPr>
          <w:rFonts w:eastAsia="MS Mincho" w:hint="eastAsia"/>
          <w:b/>
          <w:sz w:val="24"/>
          <w:highlight w:val="green"/>
          <w:u w:val="single"/>
          <w:lang w:eastAsia="ja-JP"/>
        </w:rPr>
        <w:t>Agreements</w:t>
      </w:r>
      <w:r w:rsidRPr="00B14BA1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:rsidR="0000614E" w:rsidRPr="0000614E" w:rsidRDefault="0000614E" w:rsidP="0000614E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00614E">
        <w:rPr>
          <w:rFonts w:eastAsia="MS Mincho" w:hint="eastAsia"/>
          <w:sz w:val="24"/>
          <w:lang w:eastAsia="ja-JP"/>
        </w:rPr>
        <w:t xml:space="preserve">RAN1 strives for </w:t>
      </w:r>
      <w:r w:rsidRPr="0000614E">
        <w:rPr>
          <w:rFonts w:eastAsia="MS Mincho"/>
          <w:sz w:val="24"/>
          <w:lang w:eastAsia="ja-JP"/>
        </w:rPr>
        <w:t>finding TBS determination by using a formula</w:t>
      </w:r>
    </w:p>
    <w:p w:rsidR="0000614E" w:rsidRPr="0000614E" w:rsidRDefault="0000614E" w:rsidP="0000614E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00614E">
        <w:rPr>
          <w:rFonts w:eastAsia="MS Mincho" w:hint="eastAsia"/>
          <w:sz w:val="24"/>
          <w:lang w:eastAsia="ja-JP"/>
        </w:rPr>
        <w:t xml:space="preserve">The </w:t>
      </w:r>
      <w:r w:rsidRPr="0000614E">
        <w:rPr>
          <w:rFonts w:eastAsia="MS Mincho"/>
          <w:sz w:val="24"/>
          <w:lang w:eastAsia="ja-JP"/>
        </w:rPr>
        <w:t>formula has following as parameters:</w:t>
      </w:r>
    </w:p>
    <w:p w:rsidR="0000614E" w:rsidRPr="0000614E" w:rsidRDefault="0000614E" w:rsidP="0000614E">
      <w:pPr>
        <w:numPr>
          <w:ilvl w:val="2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00614E">
        <w:rPr>
          <w:rFonts w:eastAsia="MS Mincho"/>
          <w:sz w:val="24"/>
          <w:lang w:eastAsia="ja-JP"/>
        </w:rPr>
        <w:t>The number of layers the codeword is mapped onto</w:t>
      </w:r>
    </w:p>
    <w:p w:rsidR="0000614E" w:rsidRPr="0000614E" w:rsidRDefault="0000614E" w:rsidP="0000614E">
      <w:pPr>
        <w:numPr>
          <w:ilvl w:val="2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 w:hint="eastAsia"/>
          <w:sz w:val="24"/>
          <w:lang w:eastAsia="ja-JP"/>
        </w:rPr>
      </w:pPr>
      <w:r w:rsidRPr="0000614E">
        <w:rPr>
          <w:rFonts w:eastAsia="MS Mincho" w:hint="eastAsia"/>
          <w:sz w:val="24"/>
          <w:lang w:eastAsia="ja-JP"/>
        </w:rPr>
        <w:t>Time/frequency resource the PDSCH/PUSCH is scheduled</w:t>
      </w:r>
    </w:p>
    <w:p w:rsidR="0000614E" w:rsidRPr="0000614E" w:rsidRDefault="0000614E" w:rsidP="0000614E">
      <w:pPr>
        <w:numPr>
          <w:ilvl w:val="3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00614E">
        <w:rPr>
          <w:rFonts w:eastAsia="MS Mincho"/>
          <w:sz w:val="24"/>
          <w:lang w:eastAsia="ja-JP"/>
        </w:rPr>
        <w:t>Opt.1: The total number of REs available for the PDSCH/PUSCH</w:t>
      </w:r>
    </w:p>
    <w:p w:rsidR="0000614E" w:rsidRPr="0000614E" w:rsidRDefault="0000614E" w:rsidP="0000614E">
      <w:pPr>
        <w:numPr>
          <w:ilvl w:val="3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00614E">
        <w:rPr>
          <w:rFonts w:eastAsia="MS Mincho"/>
          <w:sz w:val="24"/>
          <w:lang w:eastAsia="ja-JP"/>
        </w:rPr>
        <w:t>Opt.2: Reference number of REs per slot/mini-slot per PRB and the number of PRB(s) for carrying the PDSCH/PUSCH</w:t>
      </w:r>
    </w:p>
    <w:p w:rsidR="0000614E" w:rsidRPr="0000614E" w:rsidRDefault="0000614E" w:rsidP="0000614E">
      <w:pPr>
        <w:numPr>
          <w:ilvl w:val="4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00614E">
        <w:rPr>
          <w:rFonts w:eastAsia="MS Mincho"/>
          <w:sz w:val="24"/>
          <w:lang w:eastAsia="ja-JP"/>
        </w:rPr>
        <w:t>FFS: Details of reference number</w:t>
      </w:r>
    </w:p>
    <w:p w:rsidR="0000614E" w:rsidRPr="0000614E" w:rsidRDefault="0000614E" w:rsidP="0000614E">
      <w:pPr>
        <w:numPr>
          <w:ilvl w:val="4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00614E">
        <w:rPr>
          <w:rFonts w:eastAsia="MS Mincho"/>
          <w:sz w:val="24"/>
          <w:lang w:eastAsia="ja-JP"/>
        </w:rPr>
        <w:t>FFS: for the case of more than one slot</w:t>
      </w:r>
    </w:p>
    <w:p w:rsidR="0000614E" w:rsidRPr="0000614E" w:rsidRDefault="0000614E" w:rsidP="0000614E">
      <w:pPr>
        <w:numPr>
          <w:ilvl w:val="2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00614E">
        <w:rPr>
          <w:rFonts w:eastAsia="MS Mincho"/>
          <w:sz w:val="24"/>
          <w:lang w:eastAsia="ja-JP"/>
        </w:rPr>
        <w:t>Modulation order</w:t>
      </w:r>
    </w:p>
    <w:p w:rsidR="0000614E" w:rsidRPr="0000614E" w:rsidRDefault="0000614E" w:rsidP="0000614E">
      <w:pPr>
        <w:numPr>
          <w:ilvl w:val="2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00614E">
        <w:rPr>
          <w:rFonts w:eastAsia="MS Mincho"/>
          <w:sz w:val="24"/>
          <w:lang w:eastAsia="ja-JP"/>
        </w:rPr>
        <w:t>Coding rate</w:t>
      </w:r>
    </w:p>
    <w:p w:rsidR="0000614E" w:rsidRPr="0000614E" w:rsidRDefault="0000614E" w:rsidP="0000614E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00614E">
        <w:rPr>
          <w:rFonts w:eastAsia="MS Mincho"/>
          <w:sz w:val="24"/>
          <w:lang w:eastAsia="ja-JP"/>
        </w:rPr>
        <w:t>RAN1 should also consider at least the following:</w:t>
      </w:r>
    </w:p>
    <w:p w:rsidR="0000614E" w:rsidRPr="0000614E" w:rsidRDefault="0000614E" w:rsidP="0000614E">
      <w:pPr>
        <w:numPr>
          <w:ilvl w:val="2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00614E">
        <w:rPr>
          <w:rFonts w:eastAsia="MS Mincho"/>
          <w:sz w:val="24"/>
          <w:lang w:eastAsia="ja-JP"/>
        </w:rPr>
        <w:t>Whether the system can work without ensuring to enable giving the knowledge for decoding the re-transmission without the knowledge of initial transmission</w:t>
      </w:r>
    </w:p>
    <w:p w:rsidR="0000614E" w:rsidRPr="0000614E" w:rsidRDefault="0000614E" w:rsidP="0000614E">
      <w:pPr>
        <w:numPr>
          <w:ilvl w:val="3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 w:hint="eastAsia"/>
          <w:sz w:val="24"/>
          <w:lang w:eastAsia="ja-JP"/>
        </w:rPr>
      </w:pPr>
      <w:r w:rsidRPr="0000614E">
        <w:rPr>
          <w:rFonts w:eastAsia="MS Mincho"/>
          <w:sz w:val="24"/>
          <w:lang w:eastAsia="ja-JP"/>
        </w:rPr>
        <w:t>Ensuring to enable the same TBS between initial transmission and re-transmission with the same/different number of PRBs or the same/different number of symbols in some cases</w:t>
      </w:r>
    </w:p>
    <w:p w:rsidR="0000614E" w:rsidRPr="0000614E" w:rsidRDefault="0000614E" w:rsidP="0000614E">
      <w:pPr>
        <w:numPr>
          <w:ilvl w:val="2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00614E">
        <w:rPr>
          <w:rFonts w:eastAsia="MS Mincho"/>
          <w:sz w:val="24"/>
          <w:lang w:eastAsia="ja-JP"/>
        </w:rPr>
        <w:t>Code-block segmentation</w:t>
      </w:r>
    </w:p>
    <w:p w:rsidR="0000614E" w:rsidRPr="0000614E" w:rsidRDefault="0000614E" w:rsidP="0000614E">
      <w:pPr>
        <w:numPr>
          <w:ilvl w:val="2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00614E">
        <w:rPr>
          <w:rFonts w:eastAsia="MS Mincho"/>
          <w:sz w:val="24"/>
          <w:lang w:eastAsia="ja-JP"/>
        </w:rPr>
        <w:t>TBS determination for specific packet sizes (e.g., VoIP, etc)</w:t>
      </w:r>
    </w:p>
    <w:p w:rsidR="0000614E" w:rsidRPr="0000614E" w:rsidRDefault="0000614E" w:rsidP="0000614E">
      <w:pPr>
        <w:numPr>
          <w:ilvl w:val="2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00614E">
        <w:rPr>
          <w:rFonts w:eastAsia="MS Mincho"/>
          <w:sz w:val="24"/>
          <w:lang w:eastAsia="ja-JP"/>
        </w:rPr>
        <w:t>TBS determination for specific services (e.g., URLLC, etc)</w:t>
      </w:r>
    </w:p>
    <w:p w:rsidR="0000614E" w:rsidRPr="0000614E" w:rsidRDefault="0000614E" w:rsidP="0000614E">
      <w:pPr>
        <w:numPr>
          <w:ilvl w:val="2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00614E">
        <w:rPr>
          <w:rFonts w:eastAsia="MS Mincho"/>
          <w:sz w:val="24"/>
          <w:lang w:eastAsia="ja-JP"/>
        </w:rPr>
        <w:t>Possibility of decoupling the coding rate and modulation order for some cases</w:t>
      </w:r>
    </w:p>
    <w:p w:rsidR="0000614E" w:rsidRPr="0000614E" w:rsidRDefault="0000614E" w:rsidP="0000614E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00614E">
        <w:rPr>
          <w:rFonts w:eastAsia="MS Mincho"/>
          <w:sz w:val="24"/>
          <w:lang w:eastAsia="ja-JP"/>
        </w:rPr>
        <w:t>Note: Byte alignment is required</w:t>
      </w:r>
    </w:p>
    <w:p w:rsidR="0000614E" w:rsidRPr="0000614E" w:rsidRDefault="0000614E" w:rsidP="0000614E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00614E">
        <w:rPr>
          <w:rFonts w:eastAsia="MS Mincho"/>
          <w:sz w:val="24"/>
          <w:lang w:eastAsia="ja-JP"/>
        </w:rPr>
        <w:t>Note: in addition to the formula, table(s) may be needed to determine the TBS value</w:t>
      </w:r>
    </w:p>
    <w:p w:rsidR="00A868D8" w:rsidRDefault="00A868D8" w:rsidP="0000614E">
      <w:pPr>
        <w:jc w:val="both"/>
        <w:rPr>
          <w:rFonts w:eastAsia="MS Mincho"/>
          <w:sz w:val="24"/>
          <w:szCs w:val="24"/>
          <w:lang w:eastAsia="ja-JP"/>
        </w:rPr>
      </w:pPr>
    </w:p>
    <w:p w:rsidR="00250D87" w:rsidRPr="0000614E" w:rsidRDefault="006C6FB2" w:rsidP="0000614E">
      <w:pPr>
        <w:rPr>
          <w:sz w:val="24"/>
          <w:szCs w:val="24"/>
        </w:rPr>
      </w:pPr>
      <w:r>
        <w:rPr>
          <w:rFonts w:eastAsia="MS Mincho"/>
          <w:sz w:val="24"/>
          <w:szCs w:val="24"/>
          <w:lang w:eastAsia="ja-JP"/>
        </w:rPr>
        <w:lastRenderedPageBreak/>
        <w:t>In thi</w:t>
      </w:r>
      <w:r w:rsidR="00675879">
        <w:rPr>
          <w:rFonts w:eastAsia="MS Mincho"/>
          <w:sz w:val="24"/>
          <w:szCs w:val="24"/>
          <w:lang w:eastAsia="ja-JP"/>
        </w:rPr>
        <w:t>s contribution, we describe o</w:t>
      </w:r>
      <w:r w:rsidR="002F500A">
        <w:rPr>
          <w:rFonts w:eastAsia="MS Mincho"/>
          <w:sz w:val="24"/>
          <w:szCs w:val="24"/>
          <w:lang w:eastAsia="ja-JP"/>
        </w:rPr>
        <w:t xml:space="preserve">ur views </w:t>
      </w:r>
      <w:r w:rsidR="00157AA0">
        <w:rPr>
          <w:rFonts w:eastAsia="MS Mincho"/>
          <w:sz w:val="24"/>
          <w:szCs w:val="24"/>
          <w:lang w:eastAsia="ja-JP"/>
        </w:rPr>
        <w:t xml:space="preserve">on </w:t>
      </w:r>
      <w:r w:rsidR="0000614E" w:rsidRPr="0000614E">
        <w:rPr>
          <w:sz w:val="24"/>
          <w:szCs w:val="24"/>
        </w:rPr>
        <w:t xml:space="preserve">TB </w:t>
      </w:r>
      <w:r w:rsidR="0000614E">
        <w:rPr>
          <w:sz w:val="24"/>
          <w:szCs w:val="24"/>
        </w:rPr>
        <w:t>size determination</w:t>
      </w:r>
      <w:r w:rsidR="00157AA0">
        <w:rPr>
          <w:rFonts w:eastAsia="MS Mincho"/>
          <w:sz w:val="24"/>
          <w:szCs w:val="24"/>
          <w:lang w:eastAsia="ja-JP"/>
        </w:rPr>
        <w:t xml:space="preserve">. </w:t>
      </w:r>
    </w:p>
    <w:p w:rsidR="001D7377" w:rsidRDefault="00AD72BC" w:rsidP="001D7377">
      <w:pPr>
        <w:pStyle w:val="Heading1"/>
      </w:pPr>
      <w:r>
        <w:t xml:space="preserve"> </w:t>
      </w:r>
      <w:r w:rsidR="000C4216">
        <w:t>Views on TB size determination</w:t>
      </w:r>
    </w:p>
    <w:p w:rsidR="000C4216" w:rsidRDefault="00C72598" w:rsidP="006A2A4D">
      <w:pPr>
        <w:jc w:val="both"/>
        <w:rPr>
          <w:sz w:val="24"/>
          <w:szCs w:val="24"/>
        </w:rPr>
      </w:pPr>
      <w:bookmarkStart w:id="2" w:name="_Ref378529477"/>
      <w:r>
        <w:rPr>
          <w:sz w:val="24"/>
          <w:szCs w:val="24"/>
        </w:rPr>
        <w:t xml:space="preserve">In our view, </w:t>
      </w:r>
      <w:r w:rsidR="000C4216">
        <w:rPr>
          <w:sz w:val="24"/>
          <w:szCs w:val="24"/>
        </w:rPr>
        <w:t xml:space="preserve">RAN1 should define a formula for finding the TB size. This will avoids re-defining the TB size tables whenever any new feature is added.  For example, in future if we define additional layers for a single TRP case or a multi TRP case, then the formula should scale rather than adding a new entries in the table.  Regarding the time frequency resources in the formula for TB size determination, </w:t>
      </w:r>
      <w:r w:rsidR="00CE5B29">
        <w:rPr>
          <w:sz w:val="24"/>
          <w:szCs w:val="24"/>
        </w:rPr>
        <w:t xml:space="preserve">for slot based operation </w:t>
      </w:r>
      <w:r w:rsidR="00CE5B29">
        <w:rPr>
          <w:sz w:val="24"/>
          <w:szCs w:val="24"/>
        </w:rPr>
        <w:t xml:space="preserve">we prefer </w:t>
      </w:r>
      <w:r w:rsidR="000C4216">
        <w:rPr>
          <w:sz w:val="24"/>
          <w:szCs w:val="24"/>
        </w:rPr>
        <w:t xml:space="preserve">Option 1.  i.e. </w:t>
      </w:r>
      <w:r w:rsidR="000C4216" w:rsidRPr="0000614E">
        <w:rPr>
          <w:rFonts w:eastAsia="MS Mincho"/>
          <w:sz w:val="24"/>
          <w:lang w:eastAsia="ja-JP"/>
        </w:rPr>
        <w:t>The total number of REs available for the PDSCH/PUSCH</w:t>
      </w:r>
      <w:r w:rsidR="000C4216">
        <w:rPr>
          <w:rFonts w:eastAsia="MS Mincho"/>
          <w:sz w:val="24"/>
          <w:lang w:eastAsia="ja-JP"/>
        </w:rPr>
        <w:t>. This is because the scheduler does not know a</w:t>
      </w:r>
      <w:bookmarkStart w:id="3" w:name="_GoBack"/>
      <w:bookmarkEnd w:id="3"/>
      <w:r w:rsidR="000C4216">
        <w:rPr>
          <w:rFonts w:eastAsia="MS Mincho"/>
          <w:sz w:val="24"/>
          <w:lang w:eastAsia="ja-JP"/>
        </w:rPr>
        <w:t>priori knowledge of mini slot transmission</w:t>
      </w:r>
      <w:r w:rsidR="00CE5B29">
        <w:rPr>
          <w:rFonts w:eastAsia="MS Mincho"/>
          <w:sz w:val="24"/>
          <w:lang w:eastAsia="ja-JP"/>
        </w:rPr>
        <w:t xml:space="preserve"> during the slot transmission</w:t>
      </w:r>
      <w:r w:rsidR="000C4216">
        <w:rPr>
          <w:rFonts w:eastAsia="MS Mincho"/>
          <w:sz w:val="24"/>
          <w:lang w:eastAsia="ja-JP"/>
        </w:rPr>
        <w:t xml:space="preserve">. Hence in our view we prefer the TB size formula should contains the total number of Res available for PDSCH/PUSCH transmission. </w:t>
      </w:r>
    </w:p>
    <w:p w:rsidR="006A2A4D" w:rsidRPr="000C4216" w:rsidRDefault="00C72598" w:rsidP="006A2A4D">
      <w:pPr>
        <w:jc w:val="both"/>
        <w:rPr>
          <w:b/>
          <w:sz w:val="24"/>
          <w:szCs w:val="24"/>
        </w:rPr>
      </w:pPr>
      <w:r w:rsidRPr="000C4216">
        <w:rPr>
          <w:b/>
          <w:sz w:val="24"/>
          <w:szCs w:val="24"/>
        </w:rPr>
        <w:t>Proposal:</w:t>
      </w:r>
      <w:r w:rsidR="006A2A4D" w:rsidRPr="000C4216">
        <w:rPr>
          <w:b/>
          <w:sz w:val="24"/>
          <w:szCs w:val="24"/>
        </w:rPr>
        <w:t xml:space="preserve"> </w:t>
      </w:r>
      <w:r w:rsidR="000C4216" w:rsidRPr="000C4216">
        <w:rPr>
          <w:b/>
          <w:sz w:val="24"/>
          <w:szCs w:val="24"/>
        </w:rPr>
        <w:t xml:space="preserve"> The TB size formula should use </w:t>
      </w:r>
      <w:r w:rsidR="000C4216" w:rsidRPr="000C4216">
        <w:rPr>
          <w:rFonts w:eastAsia="MS Mincho"/>
          <w:b/>
          <w:sz w:val="24"/>
          <w:lang w:eastAsia="ja-JP"/>
        </w:rPr>
        <w:t>t</w:t>
      </w:r>
      <w:r w:rsidR="000C4216" w:rsidRPr="000C4216">
        <w:rPr>
          <w:rFonts w:eastAsia="MS Mincho"/>
          <w:b/>
          <w:sz w:val="24"/>
          <w:lang w:eastAsia="ja-JP"/>
        </w:rPr>
        <w:t>he total number of REs available for the PDSCH/PUSCH</w:t>
      </w:r>
      <w:r w:rsidR="006A2A4D" w:rsidRPr="000C4216">
        <w:rPr>
          <w:b/>
          <w:sz w:val="24"/>
          <w:szCs w:val="24"/>
        </w:rPr>
        <w:t xml:space="preserve"> </w:t>
      </w:r>
    </w:p>
    <w:p w:rsidR="001D7377" w:rsidRDefault="001D7377" w:rsidP="001D7377">
      <w:pPr>
        <w:pStyle w:val="Heading1"/>
      </w:pPr>
      <w:bookmarkStart w:id="4" w:name="_Toc424303267"/>
      <w:bookmarkStart w:id="5" w:name="_Toc425248865"/>
      <w:bookmarkStart w:id="6" w:name="_Toc425344835"/>
      <w:bookmarkStart w:id="7" w:name="_Toc425350726"/>
      <w:bookmarkStart w:id="8" w:name="_Toc425501584"/>
      <w:bookmarkStart w:id="9" w:name="_Toc425504168"/>
      <w:r>
        <w:t>Conclusions</w:t>
      </w:r>
    </w:p>
    <w:bookmarkEnd w:id="4"/>
    <w:bookmarkEnd w:id="5"/>
    <w:bookmarkEnd w:id="6"/>
    <w:bookmarkEnd w:id="7"/>
    <w:bookmarkEnd w:id="8"/>
    <w:bookmarkEnd w:id="9"/>
    <w:p w:rsidR="00C33D04" w:rsidRPr="0000614E" w:rsidRDefault="00C33D04" w:rsidP="00C33D04">
      <w:pPr>
        <w:rPr>
          <w:sz w:val="24"/>
          <w:szCs w:val="24"/>
        </w:rPr>
      </w:pPr>
      <w:r>
        <w:rPr>
          <w:rFonts w:eastAsia="MS Mincho"/>
          <w:sz w:val="24"/>
          <w:szCs w:val="24"/>
          <w:lang w:eastAsia="ja-JP"/>
        </w:rPr>
        <w:t xml:space="preserve">In this contribution, we describe our views on </w:t>
      </w:r>
      <w:r w:rsidRPr="0000614E">
        <w:rPr>
          <w:sz w:val="24"/>
          <w:szCs w:val="24"/>
        </w:rPr>
        <w:t xml:space="preserve">TB </w:t>
      </w:r>
      <w:r>
        <w:rPr>
          <w:sz w:val="24"/>
          <w:szCs w:val="24"/>
        </w:rPr>
        <w:t>size determination</w:t>
      </w:r>
      <w:r>
        <w:rPr>
          <w:rFonts w:eastAsia="MS Mincho"/>
          <w:sz w:val="24"/>
          <w:szCs w:val="24"/>
          <w:lang w:eastAsia="ja-JP"/>
        </w:rPr>
        <w:t xml:space="preserve">. </w:t>
      </w:r>
    </w:p>
    <w:p w:rsidR="001D7377" w:rsidRDefault="001D7377" w:rsidP="001D7377">
      <w:pPr>
        <w:tabs>
          <w:tab w:val="left" w:pos="3548"/>
        </w:tabs>
        <w:rPr>
          <w:sz w:val="24"/>
          <w:szCs w:val="24"/>
          <w:lang w:val="en-GB"/>
        </w:rPr>
      </w:pPr>
      <w:r w:rsidRPr="005C1BF7">
        <w:rPr>
          <w:sz w:val="24"/>
          <w:szCs w:val="24"/>
          <w:lang w:val="en-GB"/>
        </w:rPr>
        <w:t>B</w:t>
      </w:r>
      <w:r w:rsidR="00FD18E4">
        <w:rPr>
          <w:sz w:val="24"/>
          <w:szCs w:val="24"/>
          <w:lang w:val="en-GB"/>
        </w:rPr>
        <w:t>ased on our</w:t>
      </w:r>
      <w:r w:rsidRPr="005C1BF7">
        <w:rPr>
          <w:sz w:val="24"/>
          <w:szCs w:val="24"/>
          <w:lang w:val="en-GB"/>
        </w:rPr>
        <w:t xml:space="preserve"> observations, we have the following proposal:</w:t>
      </w:r>
    </w:p>
    <w:p w:rsidR="00C33D04" w:rsidRPr="000C4216" w:rsidRDefault="00C33D04" w:rsidP="00C33D04">
      <w:pPr>
        <w:jc w:val="both"/>
        <w:rPr>
          <w:b/>
          <w:sz w:val="24"/>
          <w:szCs w:val="24"/>
        </w:rPr>
      </w:pPr>
      <w:bookmarkStart w:id="10" w:name="_Ref450342757"/>
      <w:bookmarkEnd w:id="2"/>
      <w:r w:rsidRPr="000C4216">
        <w:rPr>
          <w:b/>
          <w:sz w:val="24"/>
          <w:szCs w:val="24"/>
        </w:rPr>
        <w:t xml:space="preserve">Proposal:  The TB size formula should use </w:t>
      </w:r>
      <w:r w:rsidRPr="000C4216">
        <w:rPr>
          <w:rFonts w:eastAsia="MS Mincho"/>
          <w:b/>
          <w:sz w:val="24"/>
          <w:lang w:eastAsia="ja-JP"/>
        </w:rPr>
        <w:t>the total number of REs available for the PDSCH/PUSCH</w:t>
      </w:r>
      <w:r w:rsidRPr="000C4216">
        <w:rPr>
          <w:b/>
          <w:sz w:val="24"/>
          <w:szCs w:val="24"/>
        </w:rPr>
        <w:t xml:space="preserve"> </w:t>
      </w:r>
    </w:p>
    <w:p w:rsidR="00D23892" w:rsidRDefault="00D23892" w:rsidP="00D23892">
      <w:pPr>
        <w:tabs>
          <w:tab w:val="left" w:pos="3548"/>
        </w:tabs>
        <w:rPr>
          <w:b/>
          <w:sz w:val="24"/>
          <w:szCs w:val="24"/>
        </w:rPr>
      </w:pPr>
    </w:p>
    <w:p w:rsidR="00B47DC1" w:rsidRDefault="00B47DC1" w:rsidP="00B47DC1">
      <w:pPr>
        <w:pStyle w:val="ListParagraph"/>
        <w:ind w:left="567"/>
        <w:rPr>
          <w:rFonts w:ascii="Times New Roman" w:eastAsia="SimSun" w:hAnsi="Times New Roman"/>
          <w:sz w:val="24"/>
          <w:szCs w:val="24"/>
        </w:rPr>
      </w:pPr>
    </w:p>
    <w:p w:rsidR="008F49D1" w:rsidRPr="000F70D6" w:rsidRDefault="008F49D1" w:rsidP="00474038">
      <w:pPr>
        <w:pStyle w:val="ListParagraph"/>
        <w:ind w:left="567"/>
        <w:rPr>
          <w:rFonts w:ascii="Times New Roman" w:eastAsia="SimSun" w:hAnsi="Times New Roman"/>
          <w:sz w:val="24"/>
          <w:szCs w:val="24"/>
        </w:rPr>
      </w:pPr>
    </w:p>
    <w:bookmarkEnd w:id="10"/>
    <w:p w:rsidR="001D7377" w:rsidRPr="00F51ABC" w:rsidRDefault="001D7377" w:rsidP="001D7377">
      <w:pPr>
        <w:rPr>
          <w:color w:val="FF0000"/>
          <w:lang w:val="en-GB"/>
        </w:rPr>
      </w:pPr>
    </w:p>
    <w:p w:rsidR="0076369B" w:rsidRPr="001D7377" w:rsidRDefault="0076369B">
      <w:pPr>
        <w:rPr>
          <w:lang w:val="en-GB"/>
        </w:rPr>
      </w:pPr>
    </w:p>
    <w:sectPr w:rsidR="0076369B" w:rsidRPr="001D7377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458" w:rsidRDefault="00523458" w:rsidP="00A03DF3">
      <w:pPr>
        <w:spacing w:after="0"/>
      </w:pPr>
      <w:r>
        <w:separator/>
      </w:r>
    </w:p>
  </w:endnote>
  <w:endnote w:type="continuationSeparator" w:id="0">
    <w:p w:rsidR="00523458" w:rsidRDefault="00523458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ＭＳ 明朝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9E5" w:rsidRDefault="003709E5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09E5" w:rsidRDefault="003709E5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9E5" w:rsidRDefault="003709E5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376B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376B4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458" w:rsidRDefault="00523458" w:rsidP="00A03DF3">
      <w:pPr>
        <w:spacing w:after="0"/>
      </w:pPr>
      <w:r>
        <w:separator/>
      </w:r>
    </w:p>
  </w:footnote>
  <w:footnote w:type="continuationSeparator" w:id="0">
    <w:p w:rsidR="00523458" w:rsidRDefault="00523458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9E5" w:rsidRDefault="003709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EE55CA"/>
    <w:multiLevelType w:val="hybridMultilevel"/>
    <w:tmpl w:val="BDAC0AA8"/>
    <w:lvl w:ilvl="0" w:tplc="3A3C9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7828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2BB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2C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A6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F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86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26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80E4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7E7530E"/>
    <w:multiLevelType w:val="hybridMultilevel"/>
    <w:tmpl w:val="2612FA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5060CD"/>
    <w:multiLevelType w:val="hybridMultilevel"/>
    <w:tmpl w:val="DD8E2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F21231A"/>
    <w:multiLevelType w:val="hybridMultilevel"/>
    <w:tmpl w:val="A1B07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CB185B"/>
    <w:multiLevelType w:val="hybridMultilevel"/>
    <w:tmpl w:val="719E13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1E6790"/>
    <w:multiLevelType w:val="hybridMultilevel"/>
    <w:tmpl w:val="A800B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11D8E"/>
    <w:multiLevelType w:val="hybridMultilevel"/>
    <w:tmpl w:val="0A56BFE4"/>
    <w:lvl w:ilvl="0" w:tplc="095EC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410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C46E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E68CB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AA2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29B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CC04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187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62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642D20"/>
    <w:multiLevelType w:val="hybridMultilevel"/>
    <w:tmpl w:val="75828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75D3B"/>
    <w:multiLevelType w:val="hybridMultilevel"/>
    <w:tmpl w:val="ED905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12"/>
  </w:num>
  <w:num w:numId="8">
    <w:abstractNumId w:val="16"/>
  </w:num>
  <w:num w:numId="9">
    <w:abstractNumId w:val="7"/>
  </w:num>
  <w:num w:numId="10">
    <w:abstractNumId w:val="10"/>
  </w:num>
  <w:num w:numId="11">
    <w:abstractNumId w:val="8"/>
  </w:num>
  <w:num w:numId="12">
    <w:abstractNumId w:val="17"/>
  </w:num>
  <w:num w:numId="13">
    <w:abstractNumId w:val="9"/>
  </w:num>
  <w:num w:numId="14">
    <w:abstractNumId w:val="13"/>
  </w:num>
  <w:num w:numId="15">
    <w:abstractNumId w:val="15"/>
  </w:num>
  <w:num w:numId="16">
    <w:abstractNumId w:val="1"/>
  </w:num>
  <w:num w:numId="17">
    <w:abstractNumId w:val="1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5C1F"/>
    <w:rsid w:val="0000614E"/>
    <w:rsid w:val="000118EB"/>
    <w:rsid w:val="00011919"/>
    <w:rsid w:val="000152F8"/>
    <w:rsid w:val="00017D31"/>
    <w:rsid w:val="000232BC"/>
    <w:rsid w:val="00024728"/>
    <w:rsid w:val="000250E0"/>
    <w:rsid w:val="00033AB4"/>
    <w:rsid w:val="000343A6"/>
    <w:rsid w:val="00043767"/>
    <w:rsid w:val="00067E00"/>
    <w:rsid w:val="00077861"/>
    <w:rsid w:val="0008103A"/>
    <w:rsid w:val="000848FB"/>
    <w:rsid w:val="000A3623"/>
    <w:rsid w:val="000C4216"/>
    <w:rsid w:val="000E3E8D"/>
    <w:rsid w:val="000E7BE4"/>
    <w:rsid w:val="000E7F6F"/>
    <w:rsid w:val="000F152B"/>
    <w:rsid w:val="000F5365"/>
    <w:rsid w:val="000F70D6"/>
    <w:rsid w:val="0010116E"/>
    <w:rsid w:val="00102E95"/>
    <w:rsid w:val="00106E19"/>
    <w:rsid w:val="00107EBD"/>
    <w:rsid w:val="001153C1"/>
    <w:rsid w:val="0011607E"/>
    <w:rsid w:val="00116AD6"/>
    <w:rsid w:val="001259C2"/>
    <w:rsid w:val="00131CEE"/>
    <w:rsid w:val="00142412"/>
    <w:rsid w:val="00150F00"/>
    <w:rsid w:val="00151B4B"/>
    <w:rsid w:val="00152AB0"/>
    <w:rsid w:val="00157AA0"/>
    <w:rsid w:val="001625C3"/>
    <w:rsid w:val="001679FE"/>
    <w:rsid w:val="001711C0"/>
    <w:rsid w:val="001738F0"/>
    <w:rsid w:val="001748B5"/>
    <w:rsid w:val="00183123"/>
    <w:rsid w:val="00183B2D"/>
    <w:rsid w:val="00184167"/>
    <w:rsid w:val="001857EE"/>
    <w:rsid w:val="00185817"/>
    <w:rsid w:val="001A19A7"/>
    <w:rsid w:val="001B362A"/>
    <w:rsid w:val="001C0C74"/>
    <w:rsid w:val="001C1AD5"/>
    <w:rsid w:val="001D7377"/>
    <w:rsid w:val="001E0FE1"/>
    <w:rsid w:val="001E1248"/>
    <w:rsid w:val="00201686"/>
    <w:rsid w:val="002049EA"/>
    <w:rsid w:val="00206D78"/>
    <w:rsid w:val="00206DA2"/>
    <w:rsid w:val="00207CDD"/>
    <w:rsid w:val="00210503"/>
    <w:rsid w:val="0021393D"/>
    <w:rsid w:val="00220854"/>
    <w:rsid w:val="00225364"/>
    <w:rsid w:val="002322FE"/>
    <w:rsid w:val="00236E92"/>
    <w:rsid w:val="00242A69"/>
    <w:rsid w:val="00242F9F"/>
    <w:rsid w:val="00244E87"/>
    <w:rsid w:val="00250D87"/>
    <w:rsid w:val="00270E7D"/>
    <w:rsid w:val="00273449"/>
    <w:rsid w:val="00273B90"/>
    <w:rsid w:val="00275CA0"/>
    <w:rsid w:val="00291C98"/>
    <w:rsid w:val="00297B7D"/>
    <w:rsid w:val="002B13C5"/>
    <w:rsid w:val="002B26F8"/>
    <w:rsid w:val="002B6B50"/>
    <w:rsid w:val="002C3A90"/>
    <w:rsid w:val="002E3D2F"/>
    <w:rsid w:val="002E6A45"/>
    <w:rsid w:val="002F500A"/>
    <w:rsid w:val="002F70E1"/>
    <w:rsid w:val="00304012"/>
    <w:rsid w:val="00305A61"/>
    <w:rsid w:val="003109E6"/>
    <w:rsid w:val="003149D8"/>
    <w:rsid w:val="00316418"/>
    <w:rsid w:val="00334E9F"/>
    <w:rsid w:val="003376B4"/>
    <w:rsid w:val="00363695"/>
    <w:rsid w:val="00367957"/>
    <w:rsid w:val="003709E5"/>
    <w:rsid w:val="0037686B"/>
    <w:rsid w:val="0037788F"/>
    <w:rsid w:val="003778D9"/>
    <w:rsid w:val="00382E4B"/>
    <w:rsid w:val="00384F13"/>
    <w:rsid w:val="00386534"/>
    <w:rsid w:val="00386B9D"/>
    <w:rsid w:val="003967CC"/>
    <w:rsid w:val="00396A0C"/>
    <w:rsid w:val="003A6F05"/>
    <w:rsid w:val="003B08A8"/>
    <w:rsid w:val="003B11C5"/>
    <w:rsid w:val="003C016A"/>
    <w:rsid w:val="003C04C9"/>
    <w:rsid w:val="003C1FBC"/>
    <w:rsid w:val="003C71AC"/>
    <w:rsid w:val="003D2FF5"/>
    <w:rsid w:val="003D51ED"/>
    <w:rsid w:val="003F3BD7"/>
    <w:rsid w:val="003F54E8"/>
    <w:rsid w:val="00413433"/>
    <w:rsid w:val="0041500F"/>
    <w:rsid w:val="00416778"/>
    <w:rsid w:val="00416848"/>
    <w:rsid w:val="0041687B"/>
    <w:rsid w:val="00417010"/>
    <w:rsid w:val="00421884"/>
    <w:rsid w:val="00424742"/>
    <w:rsid w:val="00434696"/>
    <w:rsid w:val="00434EBF"/>
    <w:rsid w:val="00436CAA"/>
    <w:rsid w:val="0044468E"/>
    <w:rsid w:val="00464F06"/>
    <w:rsid w:val="00470BCC"/>
    <w:rsid w:val="0047312E"/>
    <w:rsid w:val="00474038"/>
    <w:rsid w:val="00482BB5"/>
    <w:rsid w:val="00484322"/>
    <w:rsid w:val="00491D5A"/>
    <w:rsid w:val="0049348F"/>
    <w:rsid w:val="004941F5"/>
    <w:rsid w:val="004951FA"/>
    <w:rsid w:val="00496256"/>
    <w:rsid w:val="004975B1"/>
    <w:rsid w:val="004A4B20"/>
    <w:rsid w:val="004A5460"/>
    <w:rsid w:val="004A6AF1"/>
    <w:rsid w:val="004B6CC8"/>
    <w:rsid w:val="004C12A8"/>
    <w:rsid w:val="004C521D"/>
    <w:rsid w:val="004E24E6"/>
    <w:rsid w:val="004E3753"/>
    <w:rsid w:val="004E4A4E"/>
    <w:rsid w:val="0051043F"/>
    <w:rsid w:val="00523458"/>
    <w:rsid w:val="00526E57"/>
    <w:rsid w:val="00534474"/>
    <w:rsid w:val="005352FA"/>
    <w:rsid w:val="00537F8E"/>
    <w:rsid w:val="005457DF"/>
    <w:rsid w:val="00547C78"/>
    <w:rsid w:val="0055021B"/>
    <w:rsid w:val="00560423"/>
    <w:rsid w:val="00566BF8"/>
    <w:rsid w:val="005720AE"/>
    <w:rsid w:val="0058545D"/>
    <w:rsid w:val="00586094"/>
    <w:rsid w:val="00594E1F"/>
    <w:rsid w:val="005A32B5"/>
    <w:rsid w:val="005C1BF7"/>
    <w:rsid w:val="005F0C73"/>
    <w:rsid w:val="005F2BEE"/>
    <w:rsid w:val="005F49BE"/>
    <w:rsid w:val="005F69AE"/>
    <w:rsid w:val="00602FF2"/>
    <w:rsid w:val="0061290E"/>
    <w:rsid w:val="0062050D"/>
    <w:rsid w:val="00633D91"/>
    <w:rsid w:val="00644086"/>
    <w:rsid w:val="0064614A"/>
    <w:rsid w:val="00647AF1"/>
    <w:rsid w:val="00653B6D"/>
    <w:rsid w:val="006570DF"/>
    <w:rsid w:val="006577D9"/>
    <w:rsid w:val="006625D4"/>
    <w:rsid w:val="00664678"/>
    <w:rsid w:val="006667BE"/>
    <w:rsid w:val="00667EDB"/>
    <w:rsid w:val="00674ED6"/>
    <w:rsid w:val="00675879"/>
    <w:rsid w:val="00680F31"/>
    <w:rsid w:val="00681E19"/>
    <w:rsid w:val="00690312"/>
    <w:rsid w:val="00691783"/>
    <w:rsid w:val="006A2A4D"/>
    <w:rsid w:val="006A4ACB"/>
    <w:rsid w:val="006A53E5"/>
    <w:rsid w:val="006A5DD2"/>
    <w:rsid w:val="006A790A"/>
    <w:rsid w:val="006B101C"/>
    <w:rsid w:val="006B50A4"/>
    <w:rsid w:val="006C6647"/>
    <w:rsid w:val="006C6FB2"/>
    <w:rsid w:val="006D3D50"/>
    <w:rsid w:val="006E0538"/>
    <w:rsid w:val="006E669E"/>
    <w:rsid w:val="006E7E37"/>
    <w:rsid w:val="006F5982"/>
    <w:rsid w:val="00706C10"/>
    <w:rsid w:val="00710907"/>
    <w:rsid w:val="007146FF"/>
    <w:rsid w:val="007229DC"/>
    <w:rsid w:val="00722FD8"/>
    <w:rsid w:val="0073390E"/>
    <w:rsid w:val="00735620"/>
    <w:rsid w:val="0074131E"/>
    <w:rsid w:val="00742ABC"/>
    <w:rsid w:val="00745620"/>
    <w:rsid w:val="0075148E"/>
    <w:rsid w:val="00760679"/>
    <w:rsid w:val="0076369B"/>
    <w:rsid w:val="00767F04"/>
    <w:rsid w:val="007764D8"/>
    <w:rsid w:val="0078261D"/>
    <w:rsid w:val="007877F2"/>
    <w:rsid w:val="00790961"/>
    <w:rsid w:val="007A4702"/>
    <w:rsid w:val="007A6469"/>
    <w:rsid w:val="007B3085"/>
    <w:rsid w:val="007B3DE9"/>
    <w:rsid w:val="007B574D"/>
    <w:rsid w:val="007B6F7A"/>
    <w:rsid w:val="007C1666"/>
    <w:rsid w:val="007C274D"/>
    <w:rsid w:val="007C3391"/>
    <w:rsid w:val="007D6B66"/>
    <w:rsid w:val="0081279A"/>
    <w:rsid w:val="00816FB9"/>
    <w:rsid w:val="008177E7"/>
    <w:rsid w:val="00825D7A"/>
    <w:rsid w:val="00825EC8"/>
    <w:rsid w:val="00827552"/>
    <w:rsid w:val="008305FD"/>
    <w:rsid w:val="00841D9F"/>
    <w:rsid w:val="00843B1D"/>
    <w:rsid w:val="00844CF1"/>
    <w:rsid w:val="00860E8A"/>
    <w:rsid w:val="0086141D"/>
    <w:rsid w:val="008645B9"/>
    <w:rsid w:val="00876F81"/>
    <w:rsid w:val="008779BD"/>
    <w:rsid w:val="00881B50"/>
    <w:rsid w:val="00883F0F"/>
    <w:rsid w:val="00892F50"/>
    <w:rsid w:val="008930A9"/>
    <w:rsid w:val="00893DF9"/>
    <w:rsid w:val="00896BD4"/>
    <w:rsid w:val="008A6586"/>
    <w:rsid w:val="008A70D6"/>
    <w:rsid w:val="008A7C64"/>
    <w:rsid w:val="008B7E92"/>
    <w:rsid w:val="008C4C93"/>
    <w:rsid w:val="008C5528"/>
    <w:rsid w:val="008C7323"/>
    <w:rsid w:val="008E1849"/>
    <w:rsid w:val="008E3584"/>
    <w:rsid w:val="008E5AEC"/>
    <w:rsid w:val="008E5C54"/>
    <w:rsid w:val="008F49D1"/>
    <w:rsid w:val="008F4B0E"/>
    <w:rsid w:val="008F7450"/>
    <w:rsid w:val="009060A4"/>
    <w:rsid w:val="00907D90"/>
    <w:rsid w:val="0091056A"/>
    <w:rsid w:val="00912F39"/>
    <w:rsid w:val="0091403F"/>
    <w:rsid w:val="00917961"/>
    <w:rsid w:val="00923046"/>
    <w:rsid w:val="0092356A"/>
    <w:rsid w:val="009338D5"/>
    <w:rsid w:val="00935907"/>
    <w:rsid w:val="009444F6"/>
    <w:rsid w:val="009477DD"/>
    <w:rsid w:val="00961690"/>
    <w:rsid w:val="00964DE7"/>
    <w:rsid w:val="009714DC"/>
    <w:rsid w:val="00972121"/>
    <w:rsid w:val="00973EEF"/>
    <w:rsid w:val="009768BE"/>
    <w:rsid w:val="00990A8D"/>
    <w:rsid w:val="00993A2F"/>
    <w:rsid w:val="009A212B"/>
    <w:rsid w:val="009B12B4"/>
    <w:rsid w:val="009B136D"/>
    <w:rsid w:val="009B34F4"/>
    <w:rsid w:val="009B679A"/>
    <w:rsid w:val="009B67DE"/>
    <w:rsid w:val="009C0E95"/>
    <w:rsid w:val="009F4239"/>
    <w:rsid w:val="00A03DF3"/>
    <w:rsid w:val="00A13339"/>
    <w:rsid w:val="00A36F7A"/>
    <w:rsid w:val="00A42970"/>
    <w:rsid w:val="00A429ED"/>
    <w:rsid w:val="00A45013"/>
    <w:rsid w:val="00A45CAD"/>
    <w:rsid w:val="00A462B3"/>
    <w:rsid w:val="00A46AEB"/>
    <w:rsid w:val="00A50E1C"/>
    <w:rsid w:val="00A706A9"/>
    <w:rsid w:val="00A715E7"/>
    <w:rsid w:val="00A76BE5"/>
    <w:rsid w:val="00A8639D"/>
    <w:rsid w:val="00A868D8"/>
    <w:rsid w:val="00A9069C"/>
    <w:rsid w:val="00A959CD"/>
    <w:rsid w:val="00A970DF"/>
    <w:rsid w:val="00AB1026"/>
    <w:rsid w:val="00AB3811"/>
    <w:rsid w:val="00AB63C1"/>
    <w:rsid w:val="00AC078D"/>
    <w:rsid w:val="00AD402C"/>
    <w:rsid w:val="00AD72BC"/>
    <w:rsid w:val="00AE4B6C"/>
    <w:rsid w:val="00AF1590"/>
    <w:rsid w:val="00AF49DE"/>
    <w:rsid w:val="00AF7903"/>
    <w:rsid w:val="00B00F7E"/>
    <w:rsid w:val="00B05884"/>
    <w:rsid w:val="00B17D08"/>
    <w:rsid w:val="00B17D86"/>
    <w:rsid w:val="00B24E33"/>
    <w:rsid w:val="00B26FE6"/>
    <w:rsid w:val="00B37655"/>
    <w:rsid w:val="00B42FD4"/>
    <w:rsid w:val="00B4399E"/>
    <w:rsid w:val="00B44903"/>
    <w:rsid w:val="00B47DC1"/>
    <w:rsid w:val="00B50BAC"/>
    <w:rsid w:val="00B54F62"/>
    <w:rsid w:val="00B7005D"/>
    <w:rsid w:val="00B70D99"/>
    <w:rsid w:val="00B74C3C"/>
    <w:rsid w:val="00B77F41"/>
    <w:rsid w:val="00B82AA0"/>
    <w:rsid w:val="00B82F38"/>
    <w:rsid w:val="00B865C9"/>
    <w:rsid w:val="00B86C48"/>
    <w:rsid w:val="00B91E13"/>
    <w:rsid w:val="00B9611D"/>
    <w:rsid w:val="00B96FAF"/>
    <w:rsid w:val="00BB4CBA"/>
    <w:rsid w:val="00BC6517"/>
    <w:rsid w:val="00BE32F5"/>
    <w:rsid w:val="00BF2B2D"/>
    <w:rsid w:val="00C00A29"/>
    <w:rsid w:val="00C152E3"/>
    <w:rsid w:val="00C1607A"/>
    <w:rsid w:val="00C31268"/>
    <w:rsid w:val="00C31810"/>
    <w:rsid w:val="00C33D04"/>
    <w:rsid w:val="00C37073"/>
    <w:rsid w:val="00C46670"/>
    <w:rsid w:val="00C50D06"/>
    <w:rsid w:val="00C532A5"/>
    <w:rsid w:val="00C54E0C"/>
    <w:rsid w:val="00C72598"/>
    <w:rsid w:val="00C9597D"/>
    <w:rsid w:val="00CA0134"/>
    <w:rsid w:val="00CA1957"/>
    <w:rsid w:val="00CA4771"/>
    <w:rsid w:val="00CA5FB4"/>
    <w:rsid w:val="00CB5E6A"/>
    <w:rsid w:val="00CB7ACA"/>
    <w:rsid w:val="00CC3CDF"/>
    <w:rsid w:val="00CC6914"/>
    <w:rsid w:val="00CD4BDE"/>
    <w:rsid w:val="00CD5AE1"/>
    <w:rsid w:val="00CE55FD"/>
    <w:rsid w:val="00CE5B29"/>
    <w:rsid w:val="00CE5D3D"/>
    <w:rsid w:val="00CF2D90"/>
    <w:rsid w:val="00CF4912"/>
    <w:rsid w:val="00CF51E5"/>
    <w:rsid w:val="00D07C12"/>
    <w:rsid w:val="00D1087A"/>
    <w:rsid w:val="00D11FC7"/>
    <w:rsid w:val="00D220EA"/>
    <w:rsid w:val="00D23892"/>
    <w:rsid w:val="00D2594D"/>
    <w:rsid w:val="00D2655C"/>
    <w:rsid w:val="00D32088"/>
    <w:rsid w:val="00D3493D"/>
    <w:rsid w:val="00D42A35"/>
    <w:rsid w:val="00D50F28"/>
    <w:rsid w:val="00D53A33"/>
    <w:rsid w:val="00D613FF"/>
    <w:rsid w:val="00D81AE8"/>
    <w:rsid w:val="00D913DA"/>
    <w:rsid w:val="00DA0B6E"/>
    <w:rsid w:val="00DA14A6"/>
    <w:rsid w:val="00DA67F5"/>
    <w:rsid w:val="00DA7B6D"/>
    <w:rsid w:val="00DB41E1"/>
    <w:rsid w:val="00DB432F"/>
    <w:rsid w:val="00DB6035"/>
    <w:rsid w:val="00DE1103"/>
    <w:rsid w:val="00DE5572"/>
    <w:rsid w:val="00DF21E7"/>
    <w:rsid w:val="00E02CD7"/>
    <w:rsid w:val="00E06B94"/>
    <w:rsid w:val="00E11376"/>
    <w:rsid w:val="00E11C1C"/>
    <w:rsid w:val="00E11F2C"/>
    <w:rsid w:val="00E14120"/>
    <w:rsid w:val="00E16CB7"/>
    <w:rsid w:val="00E21665"/>
    <w:rsid w:val="00E22BCB"/>
    <w:rsid w:val="00E240E0"/>
    <w:rsid w:val="00E3160A"/>
    <w:rsid w:val="00E3250E"/>
    <w:rsid w:val="00E4747B"/>
    <w:rsid w:val="00E513A1"/>
    <w:rsid w:val="00E52A97"/>
    <w:rsid w:val="00E60BB5"/>
    <w:rsid w:val="00E61DE7"/>
    <w:rsid w:val="00E62423"/>
    <w:rsid w:val="00E62ADE"/>
    <w:rsid w:val="00E664B2"/>
    <w:rsid w:val="00E72CE0"/>
    <w:rsid w:val="00E7453F"/>
    <w:rsid w:val="00E80B50"/>
    <w:rsid w:val="00E82275"/>
    <w:rsid w:val="00E8259C"/>
    <w:rsid w:val="00E82924"/>
    <w:rsid w:val="00E84501"/>
    <w:rsid w:val="00E91703"/>
    <w:rsid w:val="00E96EC3"/>
    <w:rsid w:val="00EA64BD"/>
    <w:rsid w:val="00EB2825"/>
    <w:rsid w:val="00EB513C"/>
    <w:rsid w:val="00EB5891"/>
    <w:rsid w:val="00EB6F52"/>
    <w:rsid w:val="00EC05AE"/>
    <w:rsid w:val="00EE0BDA"/>
    <w:rsid w:val="00EF79DC"/>
    <w:rsid w:val="00F04CDB"/>
    <w:rsid w:val="00F13661"/>
    <w:rsid w:val="00F143FB"/>
    <w:rsid w:val="00F14F36"/>
    <w:rsid w:val="00F22E4F"/>
    <w:rsid w:val="00F33557"/>
    <w:rsid w:val="00F35AC7"/>
    <w:rsid w:val="00F53929"/>
    <w:rsid w:val="00F639AE"/>
    <w:rsid w:val="00F670FA"/>
    <w:rsid w:val="00F67A74"/>
    <w:rsid w:val="00F76EF1"/>
    <w:rsid w:val="00F77E99"/>
    <w:rsid w:val="00F809C6"/>
    <w:rsid w:val="00F864D6"/>
    <w:rsid w:val="00F8760D"/>
    <w:rsid w:val="00FA1E70"/>
    <w:rsid w:val="00FA546C"/>
    <w:rsid w:val="00FB10A8"/>
    <w:rsid w:val="00FB1B76"/>
    <w:rsid w:val="00FB356F"/>
    <w:rsid w:val="00FD0BC3"/>
    <w:rsid w:val="00FD18E4"/>
    <w:rsid w:val="00FD1A5A"/>
    <w:rsid w:val="00FD62FA"/>
    <w:rsid w:val="00FD6E38"/>
    <w:rsid w:val="00FF23D8"/>
    <w:rsid w:val="00FF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3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077861"/>
    <w:rPr>
      <w:rFonts w:ascii="Times New Roman" w:eastAsia="SimSun" w:hAnsi="Times New Roman" w:cs="Times New Roman"/>
      <w:b/>
      <w:bCs/>
      <w:sz w:val="20"/>
      <w:szCs w:val="20"/>
    </w:rPr>
  </w:style>
  <w:style w:type="paragraph" w:customStyle="1" w:styleId="TAH">
    <w:name w:val="TAH"/>
    <w:basedOn w:val="TAC"/>
    <w:rsid w:val="00077861"/>
    <w:rPr>
      <w:b/>
    </w:rPr>
  </w:style>
  <w:style w:type="paragraph" w:customStyle="1" w:styleId="TAC">
    <w:name w:val="TAC"/>
    <w:basedOn w:val="Normal"/>
    <w:link w:val="TACChar"/>
    <w:rsid w:val="0007786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  <w:lang w:val="en-GB"/>
    </w:rPr>
  </w:style>
  <w:style w:type="paragraph" w:customStyle="1" w:styleId="Text">
    <w:name w:val="Text"/>
    <w:rsid w:val="000778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ACChar">
    <w:name w:val="TAC Char"/>
    <w:link w:val="TAC"/>
    <w:rsid w:val="0007786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g-binding">
    <w:name w:val="ng-binding"/>
    <w:basedOn w:val="DefaultParagraphFont"/>
    <w:rsid w:val="00B47DC1"/>
  </w:style>
  <w:style w:type="character" w:customStyle="1" w:styleId="apple-converted-space">
    <w:name w:val="apple-converted-space"/>
    <w:basedOn w:val="DefaultParagraphFont"/>
    <w:rsid w:val="00B47DC1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F500A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F500A"/>
    <w:rPr>
      <w:rFonts w:ascii="Times New Roman" w:eastAsia="Malgun Gothic" w:hAnsi="Times New Roman" w:cs="Batang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118EB"/>
    <w:pPr>
      <w:spacing w:after="120"/>
      <w:jc w:val="both"/>
    </w:pPr>
    <w:rPr>
      <w:rFonts w:ascii="Calibri" w:eastAsia="Times New Roman" w:hAnsi="Calibri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0118EB"/>
    <w:rPr>
      <w:rFonts w:ascii="Calibri" w:eastAsia="Times New Roman" w:hAnsi="Calibri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FCD3C-754E-4683-992B-D3C42F231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4450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Nammi, Sairemesh</dc:creator>
  <cp:keywords/>
  <dc:description/>
  <cp:lastModifiedBy>Nammi, Sairemesh</cp:lastModifiedBy>
  <cp:revision>423</cp:revision>
  <dcterms:created xsi:type="dcterms:W3CDTF">2016-08-12T11:37:00Z</dcterms:created>
  <dcterms:modified xsi:type="dcterms:W3CDTF">2017-09-11T22:02:00Z</dcterms:modified>
</cp:coreProperties>
</file>